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“Why IT should be studied at school”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Nowadays modern technologies have become an integral part of our lives. Schools should keep up with the trend. I have been working on the project with the purpose of finding out why IT should be studied at school. I have found some useful statistics in the form of a diagram, to help give my opinion on the subject.</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diagram illustrates significant variation in reasons why school curriculum should include IT classes. Getting more learning opportunities is the most popular response (48%). Preparing for a future career keeps an honorable second place (28%). Roughly a tenth of the respondents either want to learn programming or make videos.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It is worth noticing that bigger learning opportunities are a great deal more popular than videos, having a 48% popularity rating, in stark contrast with merely 4% for the latter. Learning programming barely eclipses making videos. The figures are 5% and 4% respectively. It can be inferred that students in Zetland are serious about their education.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statistics point to an underlying problem. Some students dream of becoming programmers and they forget about other subjects: languages, literature. The humanities can be also attractive for future specialists. Teachers should encourage students to learn other subjects and show in what way they improve their knowledge and boost their thinking abilities.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In conclusion, I believe that IT provides a lot of opportunities to adolescents. Not everybody should be a programmer. I am convinced that everyone should learn at least some basics. This is what school lessons should be designed for.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Количество слов: 254</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